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05FE" w14:textId="77777777" w:rsidR="00381206" w:rsidRDefault="000D0F88" w:rsidP="004A36BF">
      <w:pPr>
        <w:pStyle w:val="NoSpacing"/>
        <w:jc w:val="center"/>
        <w:rPr>
          <w:b/>
        </w:rPr>
      </w:pPr>
      <w:r>
        <w:rPr>
          <w:b/>
          <w:noProof/>
        </w:rPr>
        <w:drawing>
          <wp:inline distT="0" distB="0" distL="0" distR="0" wp14:anchorId="2A348517" wp14:editId="3BE289F0">
            <wp:extent cx="5055480" cy="93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9551" cy="946134"/>
                    </a:xfrm>
                    <a:prstGeom prst="rect">
                      <a:avLst/>
                    </a:prstGeom>
                    <a:noFill/>
                    <a:ln>
                      <a:noFill/>
                    </a:ln>
                  </pic:spPr>
                </pic:pic>
              </a:graphicData>
            </a:graphic>
          </wp:inline>
        </w:drawing>
      </w:r>
    </w:p>
    <w:p w14:paraId="0E7FBEA3" w14:textId="70E44E67" w:rsidR="00A606DD" w:rsidRPr="007421A3" w:rsidRDefault="007B68FE" w:rsidP="007421A3">
      <w:pPr>
        <w:pStyle w:val="Heading1"/>
        <w:rPr>
          <w:rStyle w:val="BookTitle"/>
          <w:rFonts w:ascii="Brandon Grotesque Black" w:hAnsi="Brandon Grotesque Black"/>
          <w:b w:val="0"/>
          <w:bCs w:val="0"/>
          <w:iCs w:val="0"/>
          <w:spacing w:val="0"/>
        </w:rPr>
      </w:pPr>
      <w:r>
        <w:rPr>
          <w:rStyle w:val="BookTitle"/>
          <w:rFonts w:ascii="Brandon Grotesque Black" w:hAnsi="Brandon Grotesque Black"/>
          <w:b w:val="0"/>
          <w:bCs w:val="0"/>
          <w:iCs w:val="0"/>
          <w:spacing w:val="0"/>
        </w:rPr>
        <w:t>EVOLVING WORKFORCE NEEDS: HIGHER EDUCATION</w:t>
      </w:r>
    </w:p>
    <w:p w14:paraId="4D725FBF" w14:textId="713C0536" w:rsidR="00725690" w:rsidRDefault="00725690" w:rsidP="00B0466D">
      <w:pPr>
        <w:pStyle w:val="NoSpacing"/>
      </w:pPr>
      <w:r w:rsidRPr="00385513">
        <w:t>The evidence is clear that some level of college completion is more important than ever, both to meet today’s changing workforce needs and for</w:t>
      </w:r>
      <w:r>
        <w:t xml:space="preserve"> the economic security and well-being of Minnesota residents</w:t>
      </w:r>
      <w:r w:rsidRPr="00385513">
        <w:t>. But college feels out of reach for too many M</w:t>
      </w:r>
      <w:r w:rsidR="000F380C">
        <w:t>innesota students. To meet the</w:t>
      </w:r>
      <w:r w:rsidRPr="00385513">
        <w:t xml:space="preserve"> goals and needs of a diverse student population, Governor Walz has proposed an umbrella of investments in programs to increase affordability, access</w:t>
      </w:r>
      <w:r w:rsidR="007A18E3">
        <w:t xml:space="preserve"> and </w:t>
      </w:r>
      <w:r w:rsidRPr="00385513">
        <w:t xml:space="preserve">readiness to postsecondary education and training in Minnesota. </w:t>
      </w:r>
    </w:p>
    <w:p w14:paraId="26A0D75D" w14:textId="77777777" w:rsidR="00B0466D" w:rsidRDefault="00B0466D" w:rsidP="00B0466D">
      <w:pPr>
        <w:pStyle w:val="NoSpacing"/>
      </w:pPr>
    </w:p>
    <w:p w14:paraId="3C8C46CB" w14:textId="6663AC3D" w:rsidR="004D16CA" w:rsidRDefault="00725690" w:rsidP="00B0466D">
      <w:pPr>
        <w:pStyle w:val="NoSpacing"/>
      </w:pPr>
      <w:r w:rsidRPr="00385513">
        <w:t xml:space="preserve">Minnesota has always been a leader </w:t>
      </w:r>
      <w:r w:rsidR="007B68FE">
        <w:t>in</w:t>
      </w:r>
      <w:r w:rsidRPr="00385513">
        <w:t xml:space="preserve"> postsecondary education and an educated workforce. To maintain this legacy, challenges such as the high cost of college, crippling student debt and persistent attainment gaps for students of color and indigenous students must be addressed. The </w:t>
      </w:r>
      <w:r>
        <w:t xml:space="preserve">comprehensive </w:t>
      </w:r>
      <w:r w:rsidRPr="00385513">
        <w:t xml:space="preserve">Higher Education budget plan </w:t>
      </w:r>
      <w:r>
        <w:t xml:space="preserve">would help </w:t>
      </w:r>
      <w:r w:rsidRPr="007A79D9">
        <w:t xml:space="preserve">every student, regardless of age, race, income or where they live, complete their education and </w:t>
      </w:r>
      <w:r w:rsidR="0071772F">
        <w:t>be successful in</w:t>
      </w:r>
      <w:r w:rsidR="007B68FE">
        <w:t xml:space="preserve"> work</w:t>
      </w:r>
      <w:r w:rsidR="0071772F">
        <w:t>.</w:t>
      </w:r>
    </w:p>
    <w:p w14:paraId="18D37B93" w14:textId="77777777" w:rsidR="00B0466D" w:rsidRPr="004D16CA" w:rsidRDefault="00B0466D" w:rsidP="00B0466D">
      <w:pPr>
        <w:pStyle w:val="NoSpacing"/>
      </w:pPr>
    </w:p>
    <w:p w14:paraId="6C84A353" w14:textId="5EC7C4EA" w:rsidR="004A36BF" w:rsidRDefault="00D262BE" w:rsidP="00E3772E">
      <w:pPr>
        <w:pStyle w:val="Heading2"/>
      </w:pPr>
      <w:r>
        <w:t xml:space="preserve">AFFORDABILITY AND COMPLETION </w:t>
      </w:r>
    </w:p>
    <w:p w14:paraId="608126F7" w14:textId="24FAC9C2" w:rsidR="00725690" w:rsidRPr="00725690" w:rsidRDefault="00B0466D" w:rsidP="00725690">
      <w:pPr>
        <w:pStyle w:val="Heading3"/>
      </w:pPr>
      <w:r w:rsidRPr="00B0466D">
        <w:drawing>
          <wp:anchor distT="0" distB="0" distL="114300" distR="114300" simplePos="0" relativeHeight="251699200" behindDoc="0" locked="0" layoutInCell="1" allowOverlap="1" wp14:anchorId="4B377FC5" wp14:editId="4C51F45F">
            <wp:simplePos x="0" y="0"/>
            <wp:positionH relativeFrom="column">
              <wp:posOffset>161925</wp:posOffset>
            </wp:positionH>
            <wp:positionV relativeFrom="paragraph">
              <wp:posOffset>104140</wp:posOffset>
            </wp:positionV>
            <wp:extent cx="694690" cy="493395"/>
            <wp:effectExtent l="0" t="0" r="0" b="1905"/>
            <wp:wrapSquare wrapText="bothSides"/>
            <wp:docPr id="5" name="Picture 5" descr="icons/grant%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s/grant%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286" w:rsidRPr="00725690">
        <w:t>B</w:t>
      </w:r>
      <w:r w:rsidR="00725690" w:rsidRPr="00725690">
        <w:t>uild on a strong foundation with the Minnesota State Grant Program</w:t>
      </w:r>
    </w:p>
    <w:p w14:paraId="7054826F" w14:textId="5B88AA51" w:rsidR="00B0466D" w:rsidRPr="00B0466D" w:rsidRDefault="00725690" w:rsidP="00B0466D">
      <w:pPr>
        <w:pStyle w:val="NoSpacing"/>
      </w:pPr>
      <w:r w:rsidRPr="00B0466D">
        <w:t xml:space="preserve">Governor Walz’s budget proposal prioritizes affordability for low and middle-income students and families with a significant investment in the Minnesota State Grant. </w:t>
      </w:r>
    </w:p>
    <w:p w14:paraId="60C13550" w14:textId="6B5F8597" w:rsidR="00725690" w:rsidRPr="00B0466D" w:rsidRDefault="00725690" w:rsidP="00B0466D">
      <w:pPr>
        <w:pStyle w:val="NoSpacing"/>
        <w:numPr>
          <w:ilvl w:val="0"/>
          <w:numId w:val="18"/>
        </w:numPr>
      </w:pPr>
      <w:r w:rsidRPr="00B0466D">
        <w:t>81,000</w:t>
      </w:r>
      <w:r w:rsidR="00B0466D">
        <w:t xml:space="preserve"> </w:t>
      </w:r>
      <w:r w:rsidRPr="00B0466D">
        <w:t>current State Grant recipients will receive an average grant increase of $300</w:t>
      </w:r>
      <w:r w:rsidR="00B0466D" w:rsidRPr="00B0466D">
        <w:t xml:space="preserve"> </w:t>
      </w:r>
      <w:r w:rsidRPr="00B0466D">
        <w:t>to</w:t>
      </w:r>
      <w:r w:rsidR="00B0466D" w:rsidRPr="00B0466D">
        <w:t xml:space="preserve"> </w:t>
      </w:r>
      <w:r w:rsidRPr="00B0466D">
        <w:t xml:space="preserve">cover tuition and </w:t>
      </w:r>
      <w:proofErr w:type="gramStart"/>
      <w:r w:rsidRPr="00B0466D">
        <w:t>fees, and</w:t>
      </w:r>
      <w:proofErr w:type="gramEnd"/>
      <w:r w:rsidRPr="00B0466D">
        <w:t xml:space="preserve"> living and miscellaneous expenses. </w:t>
      </w:r>
    </w:p>
    <w:p w14:paraId="6F273772" w14:textId="1CD9CC7B" w:rsidR="00725690" w:rsidRPr="00B0466D" w:rsidRDefault="00D2329E" w:rsidP="00B0466D">
      <w:pPr>
        <w:pStyle w:val="NoSpacing"/>
        <w:numPr>
          <w:ilvl w:val="0"/>
          <w:numId w:val="18"/>
        </w:numPr>
      </w:pPr>
      <w:r w:rsidRPr="00B0466D">
        <w:t>4</w:t>
      </w:r>
      <w:r w:rsidR="00725690" w:rsidRPr="00B0466D">
        <w:t>,700 new grant recipients will become eligible for help with</w:t>
      </w:r>
      <w:r w:rsidR="000F380C" w:rsidRPr="00B0466D">
        <w:t xml:space="preserve"> college costs. </w:t>
      </w:r>
      <w:r w:rsidR="00725690" w:rsidRPr="00B0466D">
        <w:t xml:space="preserve"> </w:t>
      </w:r>
    </w:p>
    <w:p w14:paraId="19949248" w14:textId="291A2F5D" w:rsidR="00C2183A" w:rsidRPr="00B0466D" w:rsidRDefault="00C2183A" w:rsidP="00B0466D">
      <w:pPr>
        <w:pStyle w:val="NoSpacing"/>
        <w:numPr>
          <w:ilvl w:val="0"/>
          <w:numId w:val="18"/>
        </w:numPr>
      </w:pPr>
      <w:r w:rsidRPr="00B0466D">
        <w:t xml:space="preserve">The State Grant investment, combined with Federal Pell grants, covers the cost of tuition and fees for fulltime students at both Minnesota State 2-year colleges and 4-year universities for students from families making up to $45,000 a year. </w:t>
      </w:r>
    </w:p>
    <w:p w14:paraId="2A51004A" w14:textId="77777777" w:rsidR="00725690" w:rsidRPr="00B0466D" w:rsidRDefault="00725690" w:rsidP="00B0466D">
      <w:pPr>
        <w:pStyle w:val="NoSpacing"/>
        <w:numPr>
          <w:ilvl w:val="0"/>
          <w:numId w:val="18"/>
        </w:numPr>
      </w:pPr>
      <w:r w:rsidRPr="00B0466D">
        <w:t>Close to 40% of State Grant recipients are students of color or indigenous students, helping to close the attainment gap for those populations.</w:t>
      </w:r>
    </w:p>
    <w:p w14:paraId="70F7161E" w14:textId="087D4E68" w:rsidR="000F380C" w:rsidRPr="00B0466D" w:rsidRDefault="00725690" w:rsidP="00B0466D">
      <w:pPr>
        <w:pStyle w:val="NoSpacing"/>
        <w:numPr>
          <w:ilvl w:val="0"/>
          <w:numId w:val="18"/>
        </w:numPr>
      </w:pPr>
      <w:r w:rsidRPr="00B0466D">
        <w:t xml:space="preserve">Increased State Grant awards for </w:t>
      </w:r>
      <w:r w:rsidR="000F380C" w:rsidRPr="00B0466D">
        <w:t xml:space="preserve">500 </w:t>
      </w:r>
      <w:r w:rsidRPr="00B0466D">
        <w:t xml:space="preserve">Minnesota Dreamers and other underserved students will improve their ability to enroll </w:t>
      </w:r>
      <w:r w:rsidR="000F380C" w:rsidRPr="00B0466D">
        <w:t xml:space="preserve">in and complete a </w:t>
      </w:r>
      <w:r w:rsidRPr="00B0466D">
        <w:t xml:space="preserve">postsecondary education. </w:t>
      </w:r>
    </w:p>
    <w:p w14:paraId="36C6DFDF" w14:textId="1DA1563C" w:rsidR="00B0466D" w:rsidRPr="00725690" w:rsidRDefault="00B0466D" w:rsidP="00B0466D">
      <w:pPr>
        <w:pStyle w:val="NoSpacing"/>
      </w:pPr>
    </w:p>
    <w:p w14:paraId="3A9C20FA" w14:textId="2F0B9459" w:rsidR="00717EBE" w:rsidRDefault="00B0466D" w:rsidP="000D0F88">
      <w:pPr>
        <w:pStyle w:val="Heading3"/>
      </w:pPr>
      <w:r>
        <w:rPr>
          <w:noProof/>
        </w:rPr>
        <w:drawing>
          <wp:anchor distT="0" distB="0" distL="114300" distR="114300" simplePos="0" relativeHeight="251696128" behindDoc="0" locked="0" layoutInCell="1" allowOverlap="1" wp14:anchorId="340C86E1" wp14:editId="203D6BBB">
            <wp:simplePos x="0" y="0"/>
            <wp:positionH relativeFrom="column">
              <wp:posOffset>3175</wp:posOffset>
            </wp:positionH>
            <wp:positionV relativeFrom="paragraph">
              <wp:posOffset>121920</wp:posOffset>
            </wp:positionV>
            <wp:extent cx="686435" cy="694055"/>
            <wp:effectExtent l="0" t="0" r="0" b="0"/>
            <wp:wrapTight wrapText="bothSides">
              <wp:wrapPolygon edited="1">
                <wp:start x="5595" y="0"/>
                <wp:lineTo x="0" y="0"/>
                <wp:lineTo x="0" y="14229"/>
                <wp:lineTo x="7" y="21508"/>
                <wp:lineTo x="7" y="25065"/>
                <wp:lineTo x="21587" y="25065"/>
                <wp:lineTo x="21587" y="14393"/>
                <wp:lineTo x="21587" y="164"/>
                <wp:lineTo x="15985" y="0"/>
                <wp:lineTo x="5595" y="0"/>
              </wp:wrapPolygon>
            </wp:wrapTight>
            <wp:docPr id="4" name="Picture 4" descr="icons/dual%20g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s/dual%20gra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43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482">
        <w:rPr>
          <w:noProof/>
        </w:rPr>
        <w:drawing>
          <wp:anchor distT="0" distB="0" distL="114300" distR="114300" simplePos="0" relativeHeight="251695104" behindDoc="0" locked="0" layoutInCell="1" allowOverlap="1" wp14:anchorId="62CB9A58" wp14:editId="7F022AB5">
            <wp:simplePos x="0" y="0"/>
            <wp:positionH relativeFrom="margin">
              <wp:align>left</wp:align>
            </wp:positionH>
            <wp:positionV relativeFrom="margin">
              <wp:align>top</wp:align>
            </wp:positionV>
            <wp:extent cx="579120" cy="561340"/>
            <wp:effectExtent l="0" t="0" r="0" b="0"/>
            <wp:wrapTight wrapText="bothSides">
              <wp:wrapPolygon edited="1">
                <wp:start x="8535" y="-4265"/>
                <wp:lineTo x="9" y="-4265"/>
                <wp:lineTo x="50" y="26306"/>
                <wp:lineTo x="25629" y="26306"/>
                <wp:lineTo x="25587" y="-4265"/>
                <wp:lineTo x="12798" y="-4265"/>
                <wp:lineTo x="8535" y="-426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iversit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120" cy="561340"/>
                    </a:xfrm>
                    <a:prstGeom prst="rect">
                      <a:avLst/>
                    </a:prstGeom>
                  </pic:spPr>
                </pic:pic>
              </a:graphicData>
            </a:graphic>
            <wp14:sizeRelH relativeFrom="margin">
              <wp14:pctWidth>0</wp14:pctWidth>
            </wp14:sizeRelH>
            <wp14:sizeRelV relativeFrom="margin">
              <wp14:pctHeight>0</wp14:pctHeight>
            </wp14:sizeRelV>
          </wp:anchor>
        </w:drawing>
      </w:r>
      <w:r w:rsidR="004147BC">
        <w:t>Support</w:t>
      </w:r>
      <w:r w:rsidR="00EE3F0C">
        <w:t xml:space="preserve"> </w:t>
      </w:r>
      <w:r w:rsidR="004147BC">
        <w:t xml:space="preserve">education, research and outreach at the </w:t>
      </w:r>
      <w:r w:rsidR="00B54989">
        <w:t>University of Minnesota</w:t>
      </w:r>
    </w:p>
    <w:p w14:paraId="2A17624E" w14:textId="77777777" w:rsidR="00B0466D" w:rsidRDefault="00B0466D" w:rsidP="00B0466D">
      <w:pPr>
        <w:pStyle w:val="NoSpacing"/>
      </w:pPr>
      <w:r>
        <w:t xml:space="preserve">Governor’s Walz’s budget supports a high-quality education at the University of Minnesota with a 3 percent increase in base appropriations. This funding enhances the missions of research and discovery, teaching and learning, and outreach and public service at all five University of Minnesota campuses.  Infrastructure at the </w:t>
      </w:r>
      <w:r>
        <w:lastRenderedPageBreak/>
        <w:t>University of Minnesota is supported through a robust and comprehensive bonding bill totaling $150 million.</w:t>
      </w:r>
    </w:p>
    <w:p w14:paraId="03AF6CCB" w14:textId="48631B17" w:rsidR="00725690" w:rsidRDefault="00B0466D" w:rsidP="005F7A2D">
      <w:pPr>
        <w:pStyle w:val="Heading3"/>
        <w:spacing w:before="240"/>
      </w:pPr>
      <w:r>
        <w:rPr>
          <w:noProof/>
        </w:rPr>
        <w:drawing>
          <wp:anchor distT="0" distB="0" distL="114300" distR="114300" simplePos="0" relativeHeight="251705344" behindDoc="0" locked="0" layoutInCell="1" allowOverlap="1" wp14:anchorId="6C841C56" wp14:editId="484DCF34">
            <wp:simplePos x="0" y="0"/>
            <wp:positionH relativeFrom="margin">
              <wp:posOffset>67310</wp:posOffset>
            </wp:positionH>
            <wp:positionV relativeFrom="margin">
              <wp:posOffset>610235</wp:posOffset>
            </wp:positionV>
            <wp:extent cx="574040" cy="574040"/>
            <wp:effectExtent l="0" t="0" r="0" b="0"/>
            <wp:wrapTight wrapText="bothSides">
              <wp:wrapPolygon edited="1">
                <wp:start x="4453" y="-1688"/>
                <wp:lineTo x="152" y="-1688"/>
                <wp:lineTo x="0" y="12425"/>
                <wp:lineTo x="152" y="24118"/>
                <wp:lineTo x="4453" y="24118"/>
                <wp:lineTo x="8754" y="24118"/>
                <wp:lineTo x="13055" y="24118"/>
                <wp:lineTo x="17356" y="24118"/>
                <wp:lineTo x="25957" y="24118"/>
                <wp:lineTo x="25957" y="11215"/>
                <wp:lineTo x="25957" y="-1688"/>
                <wp:lineTo x="13055" y="-1688"/>
                <wp:lineTo x="4453" y="-1688"/>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AE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14:sizeRelH relativeFrom="margin">
              <wp14:pctWidth>0</wp14:pctWidth>
            </wp14:sizeRelH>
            <wp14:sizeRelV relativeFrom="margin">
              <wp14:pctHeight>0</wp14:pctHeight>
            </wp14:sizeRelV>
          </wp:anchor>
        </w:drawing>
      </w:r>
      <w:r w:rsidR="00725690">
        <w:t xml:space="preserve">Prepare Minnesota students for success with a high quality, affordable education at Minnesota State Colleges and Universities </w:t>
      </w:r>
    </w:p>
    <w:p w14:paraId="7AECD082" w14:textId="77777777" w:rsidR="00B0466D" w:rsidRDefault="00B0466D" w:rsidP="00B0466D">
      <w:pPr>
        <w:pStyle w:val="NoSpacing"/>
      </w:pPr>
      <w:r>
        <w:t>Governor Walz’s budget supports a high-quality, affordable education at Minnesota State Colleges and Universities with a 3.6 percent increase in base appropriations. Seven four-year universities and thirty two-year community and technical colleges blanket the state, providing Minnesotans with the opportunity to attend college close to home. These colleges play a lead role in career and technical education, helping to meet the changing needs of our workforce. The Capital Investment bill supports infrastructure and campus improvements by funding $150 million in state bonding requests.</w:t>
      </w:r>
    </w:p>
    <w:p w14:paraId="1513C21C" w14:textId="500B0470" w:rsidR="00492286" w:rsidRDefault="00D262BE" w:rsidP="00725690">
      <w:pPr>
        <w:pStyle w:val="Heading2"/>
        <w:spacing w:before="240"/>
      </w:pPr>
      <w:bookmarkStart w:id="0" w:name="_GoBack"/>
      <w:bookmarkEnd w:id="0"/>
      <w:r>
        <w:t xml:space="preserve">TARGETED PROGRAMS </w:t>
      </w:r>
    </w:p>
    <w:p w14:paraId="320A6FAF" w14:textId="0955CA78" w:rsidR="00492286" w:rsidRDefault="00B0466D" w:rsidP="00492286">
      <w:pPr>
        <w:pStyle w:val="Heading3"/>
      </w:pPr>
      <w:r>
        <w:rPr>
          <w:noProof/>
        </w:rPr>
        <w:drawing>
          <wp:anchor distT="0" distB="0" distL="114300" distR="114300" simplePos="0" relativeHeight="251703296" behindDoc="0" locked="0" layoutInCell="1" allowOverlap="1" wp14:anchorId="3D1E8B81" wp14:editId="36D748D2">
            <wp:simplePos x="0" y="0"/>
            <wp:positionH relativeFrom="margin">
              <wp:posOffset>-5080</wp:posOffset>
            </wp:positionH>
            <wp:positionV relativeFrom="margin">
              <wp:posOffset>2400935</wp:posOffset>
            </wp:positionV>
            <wp:extent cx="579120" cy="561340"/>
            <wp:effectExtent l="0" t="0" r="0" b="0"/>
            <wp:wrapTight wrapText="bothSides">
              <wp:wrapPolygon edited="1">
                <wp:start x="8535" y="-4265"/>
                <wp:lineTo x="9" y="-4265"/>
                <wp:lineTo x="50" y="26306"/>
                <wp:lineTo x="25629" y="26306"/>
                <wp:lineTo x="25587" y="-4265"/>
                <wp:lineTo x="12798" y="-4265"/>
                <wp:lineTo x="8535" y="-426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iversit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120" cy="561340"/>
                    </a:xfrm>
                    <a:prstGeom prst="rect">
                      <a:avLst/>
                    </a:prstGeom>
                  </pic:spPr>
                </pic:pic>
              </a:graphicData>
            </a:graphic>
            <wp14:sizeRelH relativeFrom="margin">
              <wp14:pctWidth>0</wp14:pctWidth>
            </wp14:sizeRelH>
            <wp14:sizeRelV relativeFrom="margin">
              <wp14:pctHeight>0</wp14:pctHeight>
            </wp14:sizeRelV>
          </wp:anchor>
        </w:drawing>
      </w:r>
      <w:r w:rsidR="00725690">
        <w:t xml:space="preserve">Boost college completion for returning adult students </w:t>
      </w:r>
    </w:p>
    <w:p w14:paraId="60FE75B8" w14:textId="4193FDA2" w:rsidR="00725690" w:rsidRPr="00B0466D" w:rsidRDefault="00725690" w:rsidP="00B0466D">
      <w:pPr>
        <w:pStyle w:val="NoSpacing"/>
      </w:pPr>
      <w:r w:rsidRPr="00B0466D">
        <w:t>It is estimated that 10 percent of Minnesotans age 25-44 have enrolled in college but dropped out without completing a certificate or degree. The MN Reconnect program helps adult learners re-enroll and complete their college education. Support such as dedicated advising, financial assistance and improved campus services are offered to help students successfully complete their program. The investment in Govern</w:t>
      </w:r>
      <w:r w:rsidR="005656DD" w:rsidRPr="00B0466D">
        <w:t>or Walz’s budget will double</w:t>
      </w:r>
      <w:r w:rsidRPr="00B0466D">
        <w:t xml:space="preserve"> </w:t>
      </w:r>
      <w:r w:rsidR="002839FA" w:rsidRPr="00B0466D">
        <w:t>the number of eligible school</w:t>
      </w:r>
      <w:r w:rsidR="007A18E3" w:rsidRPr="00B0466D">
        <w:t>s</w:t>
      </w:r>
      <w:r w:rsidR="002839FA" w:rsidRPr="00B0466D">
        <w:t xml:space="preserve"> to </w:t>
      </w:r>
      <w:r w:rsidRPr="00B0466D">
        <w:t xml:space="preserve">eight Minnesota State college campuses statewide.  </w:t>
      </w:r>
    </w:p>
    <w:p w14:paraId="349609CF" w14:textId="3B451438" w:rsidR="005F7A2D" w:rsidRDefault="00B0466D" w:rsidP="005F7A2D">
      <w:pPr>
        <w:pStyle w:val="NoSpacing"/>
        <w:spacing w:before="240"/>
      </w:pPr>
      <w:r>
        <w:rPr>
          <w:noProof/>
        </w:rPr>
        <w:drawing>
          <wp:anchor distT="0" distB="0" distL="114300" distR="114300" simplePos="0" relativeHeight="251683840" behindDoc="0" locked="0" layoutInCell="1" allowOverlap="1" wp14:anchorId="23B45C2B" wp14:editId="2265D1B0">
            <wp:simplePos x="0" y="0"/>
            <wp:positionH relativeFrom="margin">
              <wp:posOffset>57150</wp:posOffset>
            </wp:positionH>
            <wp:positionV relativeFrom="margin">
              <wp:posOffset>4294505</wp:posOffset>
            </wp:positionV>
            <wp:extent cx="584200" cy="585470"/>
            <wp:effectExtent l="0" t="0" r="6350" b="5080"/>
            <wp:wrapTight wrapText="bothSides">
              <wp:wrapPolygon edited="1">
                <wp:start x="-262" y="-4326"/>
                <wp:lineTo x="-132" y="20893"/>
                <wp:lineTo x="12546" y="20893"/>
                <wp:lineTo x="16772" y="20893"/>
                <wp:lineTo x="25225" y="20893"/>
                <wp:lineTo x="25094" y="-4326"/>
                <wp:lineTo x="-262" y="-4326"/>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gre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200" cy="585470"/>
                    </a:xfrm>
                    <a:prstGeom prst="rect">
                      <a:avLst/>
                    </a:prstGeom>
                  </pic:spPr>
                </pic:pic>
              </a:graphicData>
            </a:graphic>
          </wp:anchor>
        </w:drawing>
      </w:r>
      <w:r w:rsidR="005F7A2D">
        <w:rPr>
          <w:b/>
        </w:rPr>
        <w:t>Expand “earn while you learn” training grants t</w:t>
      </w:r>
      <w:r w:rsidR="005F7A2D" w:rsidRPr="00BE21CF">
        <w:rPr>
          <w:b/>
        </w:rPr>
        <w:t>o employers</w:t>
      </w:r>
      <w:r w:rsidR="005F7A2D">
        <w:t xml:space="preserve"> </w:t>
      </w:r>
    </w:p>
    <w:p w14:paraId="432EE666" w14:textId="77777777" w:rsidR="00B0466D" w:rsidRDefault="00B0466D" w:rsidP="00B0466D">
      <w:pPr>
        <w:pStyle w:val="NoSpacing"/>
      </w:pPr>
      <w:r>
        <w:t>Changing workforce needs and shifting demographics are making it more difficult for employers to find the trained and skilled employees they need. By combining on-the-job training with classroom learning, Dual Training grants help employers develop their workforce, while providing employees the benefit of earning a paycheck while they learn new skills to be successful at their current job or into the future. The new investment will cover education and training related travel and housing for students and support increased employer demand in advanced manufacturing occupations.</w:t>
      </w:r>
    </w:p>
    <w:p w14:paraId="5923E082" w14:textId="6B02921A" w:rsidR="00F003A2" w:rsidRDefault="005656DD" w:rsidP="006018EA">
      <w:pPr>
        <w:pStyle w:val="Heading3"/>
        <w:spacing w:before="240"/>
        <w:rPr>
          <w:b w:val="0"/>
        </w:rPr>
      </w:pPr>
      <w:r>
        <w:rPr>
          <w:noProof/>
        </w:rPr>
        <w:drawing>
          <wp:anchor distT="0" distB="0" distL="114300" distR="114300" simplePos="0" relativeHeight="251689984" behindDoc="0" locked="0" layoutInCell="1" allowOverlap="1" wp14:anchorId="404F4055" wp14:editId="6637B8FE">
            <wp:simplePos x="0" y="0"/>
            <wp:positionH relativeFrom="margin">
              <wp:posOffset>10160</wp:posOffset>
            </wp:positionH>
            <wp:positionV relativeFrom="margin">
              <wp:posOffset>7298690</wp:posOffset>
            </wp:positionV>
            <wp:extent cx="630555" cy="657860"/>
            <wp:effectExtent l="0" t="0" r="0" b="8890"/>
            <wp:wrapTight wrapText="bothSides">
              <wp:wrapPolygon edited="1">
                <wp:start x="7139" y="-3483"/>
                <wp:lineTo x="-41" y="-3483"/>
                <wp:lineTo x="-42" y="24465"/>
                <wp:lineTo x="23615" y="22601"/>
                <wp:lineTo x="24331" y="20007"/>
                <wp:lineTo x="24299" y="13316"/>
                <wp:lineTo x="24299" y="6647"/>
                <wp:lineTo x="24331" y="0"/>
                <wp:lineTo x="24331" y="-3334"/>
                <wp:lineTo x="7139" y="-3483"/>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reamer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555" cy="657860"/>
                    </a:xfrm>
                    <a:prstGeom prst="rect">
                      <a:avLst/>
                    </a:prstGeom>
                  </pic:spPr>
                </pic:pic>
              </a:graphicData>
            </a:graphic>
            <wp14:sizeRelH relativeFrom="margin">
              <wp14:pctWidth>0</wp14:pctWidth>
            </wp14:sizeRelH>
            <wp14:sizeRelV relativeFrom="margin">
              <wp14:pctHeight>0</wp14:pctHeight>
            </wp14:sizeRelV>
          </wp:anchor>
        </w:drawing>
      </w:r>
      <w:r w:rsidR="006018EA">
        <w:t>Prepare underrepresented students for college and career</w:t>
      </w:r>
      <w:r w:rsidR="001548B2">
        <w:t xml:space="preserve"> </w:t>
      </w:r>
    </w:p>
    <w:p w14:paraId="5068CDA4" w14:textId="5E332FAA" w:rsidR="00F003A2" w:rsidRPr="00B0466D" w:rsidRDefault="006018EA" w:rsidP="00B0466D">
      <w:pPr>
        <w:pStyle w:val="NoSpacing"/>
      </w:pPr>
      <w:r w:rsidRPr="00B0466D">
        <w:rPr>
          <w:rStyle w:val="BodyTextChar"/>
        </w:rPr>
        <w:t xml:space="preserve">The Intervention for College Attendance Program (ICAP) provides grants to programs that foster academic success and ensure underrepresented students are prepared for college and a career. The increased investment in Governor Walz’s budget will enable the grant program to reach more students, target specific </w:t>
      </w:r>
      <w:r w:rsidR="00606DDF" w:rsidRPr="00B0466D">
        <w:rPr>
          <w:rStyle w:val="BodyTextChar"/>
        </w:rPr>
        <w:t>underserved</w:t>
      </w:r>
      <w:r w:rsidRPr="00B0466D">
        <w:rPr>
          <w:rStyle w:val="BodyTextChar"/>
        </w:rPr>
        <w:t xml:space="preserve"> student populations and deepen services to current grant participants</w:t>
      </w:r>
      <w:r w:rsidRPr="00B0466D">
        <w:t xml:space="preserve">. </w:t>
      </w:r>
    </w:p>
    <w:p w14:paraId="7C9EF05B" w14:textId="0C41839F" w:rsidR="00F003A2" w:rsidRDefault="006018EA" w:rsidP="00A30C75">
      <w:pPr>
        <w:pStyle w:val="Heading3"/>
        <w:spacing w:before="240"/>
      </w:pPr>
      <w:r>
        <w:t xml:space="preserve">Limit Summer Melt for low-income students </w:t>
      </w:r>
    </w:p>
    <w:p w14:paraId="03D275ED" w14:textId="5FCE46EE" w:rsidR="00A30C75" w:rsidRDefault="00394482" w:rsidP="00A30C75">
      <w:pPr>
        <w:pStyle w:val="BodyText"/>
      </w:pPr>
      <w:r>
        <w:rPr>
          <w:noProof/>
        </w:rPr>
        <w:drawing>
          <wp:anchor distT="0" distB="0" distL="114300" distR="114300" simplePos="0" relativeHeight="251693056" behindDoc="0" locked="0" layoutInCell="1" allowOverlap="1" wp14:anchorId="434DA5A7" wp14:editId="2C4A0F35">
            <wp:simplePos x="0" y="0"/>
            <wp:positionH relativeFrom="margin">
              <wp:posOffset>6915150</wp:posOffset>
            </wp:positionH>
            <wp:positionV relativeFrom="margin">
              <wp:posOffset>1438275</wp:posOffset>
            </wp:positionV>
            <wp:extent cx="579120" cy="561340"/>
            <wp:effectExtent l="0" t="0" r="0" b="0"/>
            <wp:wrapTight wrapText="bothSides">
              <wp:wrapPolygon edited="1">
                <wp:start x="8535" y="-4793"/>
                <wp:lineTo x="9" y="-4793"/>
                <wp:lineTo x="9" y="25994"/>
                <wp:lineTo x="25587" y="25994"/>
                <wp:lineTo x="25587" y="-4793"/>
                <wp:lineTo x="12798" y="-4793"/>
                <wp:lineTo x="8535" y="-479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iversit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120" cy="561340"/>
                    </a:xfrm>
                    <a:prstGeom prst="rect">
                      <a:avLst/>
                    </a:prstGeom>
                  </pic:spPr>
                </pic:pic>
              </a:graphicData>
            </a:graphic>
            <wp14:sizeRelH relativeFrom="margin">
              <wp14:pctWidth>0</wp14:pctWidth>
            </wp14:sizeRelH>
            <wp14:sizeRelV relativeFrom="margin">
              <wp14:pctHeight>0</wp14:pctHeight>
            </wp14:sizeRelV>
          </wp:anchor>
        </w:drawing>
      </w:r>
      <w:r w:rsidR="00A30C75">
        <w:t xml:space="preserve">Summer vacation takes a toll on students’ knowledge and skills; </w:t>
      </w:r>
      <w:r w:rsidR="00606DDF">
        <w:t>underserved</w:t>
      </w:r>
      <w:r w:rsidR="00A30C75">
        <w:t xml:space="preserve"> students are especially vulnerable to this summer melt, and, over years, find it difficult to catch up. The funding increase in the higher education budget for the Summer Academic Enrichment Program will allow as many as 250 </w:t>
      </w:r>
      <w:r w:rsidR="00606DDF">
        <w:t>underserved</w:t>
      </w:r>
      <w:r w:rsidR="00A30C75">
        <w:t xml:space="preserve"> elementary and secondary students to attend an approved academic summer program. These </w:t>
      </w:r>
      <w:r w:rsidR="00A30C75">
        <w:lastRenderedPageBreak/>
        <w:t xml:space="preserve">rigorous learning programs will help them improve their academic skills and prepare them to continue their education after high school. </w:t>
      </w:r>
    </w:p>
    <w:p w14:paraId="7B85222C" w14:textId="6D5B1C98" w:rsidR="00F51FFF" w:rsidRPr="00F51FFF" w:rsidRDefault="00D262BE" w:rsidP="00A30C75">
      <w:pPr>
        <w:pStyle w:val="Heading2"/>
        <w:spacing w:before="240"/>
      </w:pPr>
      <w:r>
        <w:t xml:space="preserve">MAINTAINING CRITICAL INFRASTRUCTURE  </w:t>
      </w:r>
    </w:p>
    <w:p w14:paraId="3D7CF4CF" w14:textId="448D8197" w:rsidR="00D262BE" w:rsidRDefault="00B0466D" w:rsidP="00D262BE">
      <w:pPr>
        <w:pStyle w:val="Heading3"/>
        <w:rPr>
          <w:b w:val="0"/>
        </w:rPr>
      </w:pPr>
      <w:r>
        <w:rPr>
          <w:noProof/>
        </w:rPr>
        <w:drawing>
          <wp:anchor distT="0" distB="0" distL="114300" distR="114300" simplePos="0" relativeHeight="251687936" behindDoc="0" locked="0" layoutInCell="1" allowOverlap="1" wp14:anchorId="5EBDE25F" wp14:editId="72C708B6">
            <wp:simplePos x="0" y="0"/>
            <wp:positionH relativeFrom="margin">
              <wp:posOffset>-47625</wp:posOffset>
            </wp:positionH>
            <wp:positionV relativeFrom="margin">
              <wp:posOffset>1190625</wp:posOffset>
            </wp:positionV>
            <wp:extent cx="567055" cy="568325"/>
            <wp:effectExtent l="0" t="0" r="4445"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ED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7055" cy="568325"/>
                    </a:xfrm>
                    <a:prstGeom prst="rect">
                      <a:avLst/>
                    </a:prstGeom>
                  </pic:spPr>
                </pic:pic>
              </a:graphicData>
            </a:graphic>
            <wp14:sizeRelH relativeFrom="margin">
              <wp14:pctWidth>0</wp14:pctWidth>
            </wp14:sizeRelH>
            <wp14:sizeRelV relativeFrom="margin">
              <wp14:pctHeight>0</wp14:pctHeight>
            </wp14:sizeRelV>
          </wp:anchor>
        </w:drawing>
      </w:r>
      <w:r w:rsidR="000B45DF">
        <w:t xml:space="preserve">Expand the </w:t>
      </w:r>
      <w:r w:rsidR="001548B2">
        <w:t>S</w:t>
      </w:r>
      <w:r w:rsidR="00F51FFF">
        <w:t>tatewide Longitudinal Education Data System (SLEDS) and Early Childhood Longitudinal Data System (ECLDS)</w:t>
      </w:r>
    </w:p>
    <w:p w14:paraId="11325E7B" w14:textId="74A04BEC" w:rsidR="000B45DF" w:rsidRPr="00FB7780" w:rsidRDefault="00A30C75" w:rsidP="00D262BE">
      <w:pPr>
        <w:pStyle w:val="NoSpacing"/>
      </w:pPr>
      <w:r>
        <w:t>S</w:t>
      </w:r>
      <w:r w:rsidRPr="0098478D">
        <w:rPr>
          <w:rStyle w:val="BodyTextChar"/>
        </w:rPr>
        <w:t xml:space="preserve">LEDS and ECLDS are central to measuring outcomes of Minnesota students and the performance of state programs. SLEDS and ELCDS data </w:t>
      </w:r>
      <w:r w:rsidR="00606DDF" w:rsidRPr="0098478D">
        <w:rPr>
          <w:rStyle w:val="BodyTextChar"/>
        </w:rPr>
        <w:t>enable</w:t>
      </w:r>
      <w:r w:rsidRPr="0098478D">
        <w:rPr>
          <w:rStyle w:val="BodyTextChar"/>
        </w:rPr>
        <w:t xml:space="preserve"> policymakers, educators and parents to make informed decisions related to college and career paths and identify barriers to education and employment success.</w:t>
      </w:r>
    </w:p>
    <w:p w14:paraId="5205E0EE" w14:textId="1C05A3E4" w:rsidR="0098478D" w:rsidRDefault="00B0466D" w:rsidP="0098478D">
      <w:pPr>
        <w:pStyle w:val="Heading3"/>
        <w:spacing w:before="240"/>
      </w:pPr>
      <w:r>
        <w:rPr>
          <w:noProof/>
        </w:rPr>
        <w:drawing>
          <wp:anchor distT="0" distB="0" distL="114300" distR="114300" simplePos="0" relativeHeight="251685888" behindDoc="0" locked="0" layoutInCell="1" allowOverlap="1" wp14:anchorId="0462F0B8" wp14:editId="5E8E9C1E">
            <wp:simplePos x="0" y="0"/>
            <wp:positionH relativeFrom="margin">
              <wp:posOffset>47625</wp:posOffset>
            </wp:positionH>
            <wp:positionV relativeFrom="margin">
              <wp:posOffset>2409825</wp:posOffset>
            </wp:positionV>
            <wp:extent cx="572135" cy="815975"/>
            <wp:effectExtent l="0" t="0" r="0" b="317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ttendanc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135" cy="815975"/>
                    </a:xfrm>
                    <a:prstGeom prst="rect">
                      <a:avLst/>
                    </a:prstGeom>
                  </pic:spPr>
                </pic:pic>
              </a:graphicData>
            </a:graphic>
            <wp14:sizeRelH relativeFrom="margin">
              <wp14:pctWidth>0</wp14:pctWidth>
            </wp14:sizeRelH>
            <wp14:sizeRelV relativeFrom="margin">
              <wp14:pctHeight>0</wp14:pctHeight>
            </wp14:sizeRelV>
          </wp:anchor>
        </w:drawing>
      </w:r>
      <w:r w:rsidR="0098478D">
        <w:t xml:space="preserve">Protect </w:t>
      </w:r>
      <w:proofErr w:type="spellStart"/>
      <w:r w:rsidR="0098478D">
        <w:t>MinnState</w:t>
      </w:r>
      <w:proofErr w:type="spellEnd"/>
      <w:r w:rsidR="0098478D">
        <w:t xml:space="preserve"> student records with ISRS Next Generation</w:t>
      </w:r>
    </w:p>
    <w:p w14:paraId="0446DF33" w14:textId="0C866CB9" w:rsidR="002B7DF1" w:rsidRPr="00B0466D" w:rsidRDefault="0098478D" w:rsidP="00B0466D">
      <w:pPr>
        <w:pStyle w:val="NoSpacing"/>
      </w:pPr>
      <w:r w:rsidRPr="00B0466D">
        <w:t>The Governor’s budget invests $8 million to support a new data system for</w:t>
      </w:r>
      <w:r w:rsidR="007A18E3" w:rsidRPr="00B0466D">
        <w:t xml:space="preserve"> Minnesota State</w:t>
      </w:r>
      <w:r w:rsidRPr="00B0466D">
        <w:t xml:space="preserve"> colleges and universities and their students, faculty and staff. ISRS Next Generation replaces a worn system that can no longer meet the needs of the campuses it serves. Its impact will be widespread, from system finance and accounting, to a student system that will support applications, registration, financial aid, housing and more.</w:t>
      </w:r>
    </w:p>
    <w:p w14:paraId="4848FCB2" w14:textId="214D00E8" w:rsidR="000F380C" w:rsidRDefault="00B0466D" w:rsidP="000F380C">
      <w:pPr>
        <w:pStyle w:val="Heading3"/>
        <w:spacing w:before="240"/>
      </w:pPr>
      <w:r>
        <w:rPr>
          <w:noProof/>
        </w:rPr>
        <w:drawing>
          <wp:anchor distT="0" distB="0" distL="114300" distR="114300" simplePos="0" relativeHeight="251701248" behindDoc="0" locked="0" layoutInCell="1" allowOverlap="1" wp14:anchorId="7D01B8CF" wp14:editId="43E99125">
            <wp:simplePos x="0" y="0"/>
            <wp:positionH relativeFrom="column">
              <wp:posOffset>60960</wp:posOffset>
            </wp:positionH>
            <wp:positionV relativeFrom="paragraph">
              <wp:posOffset>194310</wp:posOffset>
            </wp:positionV>
            <wp:extent cx="622935" cy="666115"/>
            <wp:effectExtent l="0" t="0" r="12065" b="0"/>
            <wp:wrapTight wrapText="bothSides">
              <wp:wrapPolygon edited="1">
                <wp:start x="102" y="-3736"/>
                <wp:lineTo x="102" y="-30"/>
                <wp:lineTo x="0" y="6589"/>
                <wp:lineTo x="3523" y="13178"/>
                <wp:lineTo x="0" y="14002"/>
                <wp:lineTo x="0" y="18120"/>
                <wp:lineTo x="102" y="25915"/>
                <wp:lineTo x="15955" y="25915"/>
                <wp:lineTo x="23882" y="25915"/>
                <wp:lineTo x="23882" y="22208"/>
                <wp:lineTo x="23882" y="14796"/>
                <wp:lineTo x="23882" y="7383"/>
                <wp:lineTo x="23882" y="-3736"/>
                <wp:lineTo x="19919" y="-3736"/>
                <wp:lineTo x="102" y="-3736"/>
              </wp:wrapPolygon>
            </wp:wrapTight>
            <wp:docPr id="7" name="Picture 7" descr="icons/bo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s/bondin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935"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F380C">
        <w:t>Bonding Bill</w:t>
      </w:r>
    </w:p>
    <w:p w14:paraId="5852A2B7" w14:textId="72B83EC5" w:rsidR="00D2329E" w:rsidRDefault="000F380C" w:rsidP="00B0466D">
      <w:pPr>
        <w:pStyle w:val="NoSpacing"/>
      </w:pPr>
      <w:r>
        <w:t>While not part of the Higher Education budget bill, the Capital Investment bill provides significant funding for projects on Minnesota’s public colleges and universities campuses.</w:t>
      </w:r>
      <w:r w:rsidR="00606DDF">
        <w:t xml:space="preserve"> These investments place a down payment on the future of our institutions of higher education.</w:t>
      </w:r>
    </w:p>
    <w:p w14:paraId="374048FE" w14:textId="77777777" w:rsidR="00D2329E" w:rsidRPr="00316E9A" w:rsidRDefault="00D2329E" w:rsidP="00B0466D">
      <w:pPr>
        <w:pStyle w:val="NoSpacing"/>
        <w:rPr>
          <w:b/>
        </w:rPr>
      </w:pPr>
      <w:r w:rsidRPr="00316E9A">
        <w:rPr>
          <w:b/>
        </w:rPr>
        <w:t xml:space="preserve">Minnesota State </w:t>
      </w:r>
    </w:p>
    <w:p w14:paraId="5CC44DA5" w14:textId="383D0B98" w:rsidR="00D2329E" w:rsidRDefault="00D2329E" w:rsidP="00B0466D">
      <w:pPr>
        <w:pStyle w:val="NoSpacing"/>
        <w:numPr>
          <w:ilvl w:val="0"/>
          <w:numId w:val="19"/>
        </w:numPr>
      </w:pPr>
      <w:r>
        <w:t>$150 million investment for HEAPR projects at Minnesota State campuses</w:t>
      </w:r>
    </w:p>
    <w:p w14:paraId="18F29F76" w14:textId="32170A38" w:rsidR="00D2329E" w:rsidRDefault="00E12026" w:rsidP="00B0466D">
      <w:pPr>
        <w:pStyle w:val="NoSpacing"/>
        <w:numPr>
          <w:ilvl w:val="0"/>
          <w:numId w:val="19"/>
        </w:numPr>
      </w:pPr>
      <w:r>
        <w:t>Funds 100% of the State Capita</w:t>
      </w:r>
      <w:r w:rsidR="00D2329E">
        <w:t>l Request</w:t>
      </w:r>
    </w:p>
    <w:p w14:paraId="3C719A32" w14:textId="219392CE" w:rsidR="00D2329E" w:rsidRPr="00316E9A" w:rsidRDefault="00D2329E" w:rsidP="00B0466D">
      <w:pPr>
        <w:pStyle w:val="NoSpacing"/>
        <w:rPr>
          <w:b/>
        </w:rPr>
      </w:pPr>
      <w:r w:rsidRPr="00316E9A">
        <w:rPr>
          <w:b/>
        </w:rPr>
        <w:t>University of Minnesota</w:t>
      </w:r>
    </w:p>
    <w:p w14:paraId="3A6A7E4F" w14:textId="2B644FC9" w:rsidR="008409AF" w:rsidRDefault="008409AF" w:rsidP="00B0466D">
      <w:pPr>
        <w:pStyle w:val="NoSpacing"/>
        <w:numPr>
          <w:ilvl w:val="0"/>
          <w:numId w:val="20"/>
        </w:numPr>
      </w:pPr>
      <w:r>
        <w:t>Fully funded request of $28 million for the Child Development building replac</w:t>
      </w:r>
      <w:r w:rsidR="000148F7">
        <w:t>ement on the Twin Cities campus</w:t>
      </w:r>
    </w:p>
    <w:p w14:paraId="4629C366" w14:textId="6A2357BC" w:rsidR="008409AF" w:rsidRDefault="00316E9A" w:rsidP="00B0466D">
      <w:pPr>
        <w:pStyle w:val="NoSpacing"/>
        <w:numPr>
          <w:ilvl w:val="0"/>
          <w:numId w:val="20"/>
        </w:numPr>
      </w:pPr>
      <w:r>
        <w:t xml:space="preserve">Fully funds request of </w:t>
      </w:r>
      <w:r w:rsidR="008409AF">
        <w:t>$4.3 million for the renovation of A.B. Anderson Hall on the Duluth campus</w:t>
      </w:r>
    </w:p>
    <w:p w14:paraId="4E6F34D6" w14:textId="3BAC5D54" w:rsidR="008409AF" w:rsidRDefault="008409AF" w:rsidP="00B0466D">
      <w:pPr>
        <w:pStyle w:val="NoSpacing"/>
        <w:numPr>
          <w:ilvl w:val="0"/>
          <w:numId w:val="20"/>
        </w:numPr>
      </w:pPr>
      <w:r>
        <w:t>$117,700 million for HEAPR projects</w:t>
      </w:r>
    </w:p>
    <w:sectPr w:rsidR="008409AF" w:rsidSect="00725690">
      <w:headerReference w:type="default" r:id="rId17"/>
      <w:headerReference w:type="first" r:id="rId18"/>
      <w:footerReference w:type="first" r:id="rId19"/>
      <w:pgSz w:w="12240" w:h="15840"/>
      <w:pgMar w:top="1440" w:right="1440" w:bottom="1278"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20797" w14:textId="77777777" w:rsidR="00CB7AB7" w:rsidRDefault="00CB7AB7" w:rsidP="004A36BF">
      <w:pPr>
        <w:spacing w:after="0" w:line="240" w:lineRule="auto"/>
      </w:pPr>
      <w:r>
        <w:separator/>
      </w:r>
    </w:p>
  </w:endnote>
  <w:endnote w:type="continuationSeparator" w:id="0">
    <w:p w14:paraId="1042CCC1" w14:textId="77777777" w:rsidR="00CB7AB7" w:rsidRDefault="00CB7AB7" w:rsidP="004A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ndon Grotesque Black">
    <w:altName w:val="Arial"/>
    <w:panose1 w:val="020B0A03020203060202"/>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39374440"/>
      <w:docPartObj>
        <w:docPartGallery w:val="Page Numbers (Bottom of Page)"/>
        <w:docPartUnique/>
      </w:docPartObj>
    </w:sdtPr>
    <w:sdtEndPr>
      <w:rPr>
        <w:noProof/>
      </w:rPr>
    </w:sdtEndPr>
    <w:sdtContent>
      <w:p w14:paraId="5A5E8ED0" w14:textId="3C739BB4" w:rsidR="00651B1B" w:rsidRPr="00651B1B" w:rsidRDefault="00651B1B" w:rsidP="00651B1B">
        <w:pPr>
          <w:pStyle w:val="Footer"/>
          <w:jc w:val="center"/>
          <w:rPr>
            <w:sz w:val="20"/>
            <w:szCs w:val="20"/>
          </w:rPr>
        </w:pPr>
        <w:r w:rsidRPr="00651B1B">
          <w:rPr>
            <w:sz w:val="20"/>
            <w:szCs w:val="20"/>
          </w:rPr>
          <w:fldChar w:fldCharType="begin"/>
        </w:r>
        <w:r w:rsidRPr="00651B1B">
          <w:rPr>
            <w:sz w:val="20"/>
            <w:szCs w:val="20"/>
          </w:rPr>
          <w:instrText xml:space="preserve"> PAGE   \* MERGEFORMAT </w:instrText>
        </w:r>
        <w:r w:rsidRPr="00651B1B">
          <w:rPr>
            <w:sz w:val="20"/>
            <w:szCs w:val="20"/>
          </w:rPr>
          <w:fldChar w:fldCharType="separate"/>
        </w:r>
        <w:r w:rsidR="000148F7">
          <w:rPr>
            <w:noProof/>
            <w:sz w:val="20"/>
            <w:szCs w:val="20"/>
          </w:rPr>
          <w:t>1</w:t>
        </w:r>
        <w:r w:rsidRPr="00651B1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5BA7" w14:textId="77777777" w:rsidR="00CB7AB7" w:rsidRDefault="00CB7AB7" w:rsidP="004A36BF">
      <w:pPr>
        <w:spacing w:after="0" w:line="240" w:lineRule="auto"/>
      </w:pPr>
      <w:r>
        <w:separator/>
      </w:r>
    </w:p>
  </w:footnote>
  <w:footnote w:type="continuationSeparator" w:id="0">
    <w:p w14:paraId="11636853" w14:textId="77777777" w:rsidR="00CB7AB7" w:rsidRDefault="00CB7AB7" w:rsidP="004A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CBCF" w14:textId="77777777" w:rsidR="004A36BF" w:rsidRDefault="004A36BF" w:rsidP="0038120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C9455" w14:textId="77777777" w:rsidR="00651B1B" w:rsidRDefault="00107E0C" w:rsidP="00651B1B">
    <w:pPr>
      <w:pStyle w:val="Header"/>
      <w:jc w:val="center"/>
    </w:pPr>
    <w:r>
      <w:rPr>
        <w:noProof/>
      </w:rPr>
      <w:drawing>
        <wp:inline distT="0" distB="0" distL="0" distR="0" wp14:anchorId="54133A70" wp14:editId="00B5C95C">
          <wp:extent cx="2540635" cy="278117"/>
          <wp:effectExtent l="0" t="0" r="0" b="1905"/>
          <wp:docPr id="9" name="Picture 9" descr="../../Documents/Logos/OHE%20Logo%20Package/RGB%20(for%20Web)/OHE%20Logo%20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Logos/OHE%20Logo%20Package/RGB%20(for%20Web)/OHE%20Logo%20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773" cy="2992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FC3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0CE7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16E3D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6E876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EA831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80671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02EC2D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31A5FF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AA68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A98B7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AF4ABD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3806B7"/>
    <w:multiLevelType w:val="hybridMultilevel"/>
    <w:tmpl w:val="B9C0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201EF"/>
    <w:multiLevelType w:val="hybridMultilevel"/>
    <w:tmpl w:val="DAFA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35BBA"/>
    <w:multiLevelType w:val="hybridMultilevel"/>
    <w:tmpl w:val="6068E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815FC9"/>
    <w:multiLevelType w:val="hybridMultilevel"/>
    <w:tmpl w:val="AE18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A2EB4"/>
    <w:multiLevelType w:val="hybridMultilevel"/>
    <w:tmpl w:val="B42E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269CD"/>
    <w:multiLevelType w:val="hybridMultilevel"/>
    <w:tmpl w:val="6388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C1654"/>
    <w:multiLevelType w:val="hybridMultilevel"/>
    <w:tmpl w:val="9094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65D58"/>
    <w:multiLevelType w:val="hybridMultilevel"/>
    <w:tmpl w:val="952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717FB"/>
    <w:multiLevelType w:val="hybridMultilevel"/>
    <w:tmpl w:val="6BECC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9"/>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 w:numId="15">
    <w:abstractNumId w:val="15"/>
  </w:num>
  <w:num w:numId="16">
    <w:abstractNumId w:val="11"/>
  </w:num>
  <w:num w:numId="17">
    <w:abstractNumId w:val="17"/>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3E"/>
    <w:rsid w:val="000148F7"/>
    <w:rsid w:val="00032B19"/>
    <w:rsid w:val="000521A8"/>
    <w:rsid w:val="000B45DF"/>
    <w:rsid w:val="000D0F88"/>
    <w:rsid w:val="000E718E"/>
    <w:rsid w:val="000F380C"/>
    <w:rsid w:val="00107E0C"/>
    <w:rsid w:val="00133210"/>
    <w:rsid w:val="0014182A"/>
    <w:rsid w:val="001548B2"/>
    <w:rsid w:val="00184C08"/>
    <w:rsid w:val="002839FA"/>
    <w:rsid w:val="002B7DF1"/>
    <w:rsid w:val="00315012"/>
    <w:rsid w:val="00316E9A"/>
    <w:rsid w:val="00346264"/>
    <w:rsid w:val="00381206"/>
    <w:rsid w:val="00394482"/>
    <w:rsid w:val="003A7633"/>
    <w:rsid w:val="003B0672"/>
    <w:rsid w:val="00402EEF"/>
    <w:rsid w:val="004147BC"/>
    <w:rsid w:val="00446706"/>
    <w:rsid w:val="004706F4"/>
    <w:rsid w:val="00492286"/>
    <w:rsid w:val="004A25BD"/>
    <w:rsid w:val="004A36BF"/>
    <w:rsid w:val="004D16CA"/>
    <w:rsid w:val="005656DD"/>
    <w:rsid w:val="005D2800"/>
    <w:rsid w:val="005F7A2D"/>
    <w:rsid w:val="006018EA"/>
    <w:rsid w:val="00606DDF"/>
    <w:rsid w:val="00607A3E"/>
    <w:rsid w:val="00620EF8"/>
    <w:rsid w:val="0064236B"/>
    <w:rsid w:val="00651B1B"/>
    <w:rsid w:val="00675AED"/>
    <w:rsid w:val="006C4102"/>
    <w:rsid w:val="0071772F"/>
    <w:rsid w:val="00717EBE"/>
    <w:rsid w:val="00725690"/>
    <w:rsid w:val="007421A3"/>
    <w:rsid w:val="00742EAA"/>
    <w:rsid w:val="00761973"/>
    <w:rsid w:val="00781E89"/>
    <w:rsid w:val="007A18E3"/>
    <w:rsid w:val="007B68FE"/>
    <w:rsid w:val="007E1212"/>
    <w:rsid w:val="007E7623"/>
    <w:rsid w:val="008409AF"/>
    <w:rsid w:val="00865AA5"/>
    <w:rsid w:val="0089440B"/>
    <w:rsid w:val="008B78FF"/>
    <w:rsid w:val="008D04E1"/>
    <w:rsid w:val="008F62B5"/>
    <w:rsid w:val="008F750E"/>
    <w:rsid w:val="00957FE9"/>
    <w:rsid w:val="0098478D"/>
    <w:rsid w:val="009C3C92"/>
    <w:rsid w:val="009F44C7"/>
    <w:rsid w:val="00A30C75"/>
    <w:rsid w:val="00A53E05"/>
    <w:rsid w:val="00A606DD"/>
    <w:rsid w:val="00AF0248"/>
    <w:rsid w:val="00B0466D"/>
    <w:rsid w:val="00B32D3A"/>
    <w:rsid w:val="00B40F88"/>
    <w:rsid w:val="00B54989"/>
    <w:rsid w:val="00BC4A24"/>
    <w:rsid w:val="00BC5689"/>
    <w:rsid w:val="00C2183A"/>
    <w:rsid w:val="00CB7AB7"/>
    <w:rsid w:val="00CE29DF"/>
    <w:rsid w:val="00D2329E"/>
    <w:rsid w:val="00D262BE"/>
    <w:rsid w:val="00DA77B0"/>
    <w:rsid w:val="00E12026"/>
    <w:rsid w:val="00E161CA"/>
    <w:rsid w:val="00E3772E"/>
    <w:rsid w:val="00E81439"/>
    <w:rsid w:val="00EE3F0C"/>
    <w:rsid w:val="00F003A2"/>
    <w:rsid w:val="00F51FFF"/>
    <w:rsid w:val="00F7073C"/>
    <w:rsid w:val="00FA272D"/>
    <w:rsid w:val="00FB7780"/>
    <w:rsid w:val="00FD5E9E"/>
    <w:rsid w:val="00FF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A8CC3"/>
  <w15:chartTrackingRefBased/>
  <w15:docId w15:val="{7A7F78D4-FAF9-4856-B8F5-61E5E957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D0F88"/>
    <w:rPr>
      <w:sz w:val="24"/>
    </w:rPr>
  </w:style>
  <w:style w:type="paragraph" w:styleId="Heading1">
    <w:name w:val="heading 1"/>
    <w:aliases w:val="Main Header"/>
    <w:basedOn w:val="Normal"/>
    <w:next w:val="Normal"/>
    <w:link w:val="Heading1Char"/>
    <w:uiPriority w:val="9"/>
    <w:qFormat/>
    <w:rsid w:val="007421A3"/>
    <w:pPr>
      <w:keepNext/>
      <w:keepLines/>
      <w:spacing w:before="240" w:after="0"/>
      <w:jc w:val="center"/>
      <w:outlineLvl w:val="0"/>
    </w:pPr>
    <w:rPr>
      <w:rFonts w:ascii="Brandon Grotesque Black" w:eastAsiaTheme="majorEastAsia" w:hAnsi="Brandon Grotesque Black" w:cstheme="majorBidi"/>
      <w:color w:val="003865"/>
      <w:sz w:val="32"/>
      <w:szCs w:val="32"/>
    </w:rPr>
  </w:style>
  <w:style w:type="paragraph" w:styleId="Heading2">
    <w:name w:val="heading 2"/>
    <w:aliases w:val="Sub-Header"/>
    <w:basedOn w:val="Normal"/>
    <w:next w:val="Normal"/>
    <w:link w:val="Heading2Char"/>
    <w:uiPriority w:val="9"/>
    <w:unhideWhenUsed/>
    <w:qFormat/>
    <w:rsid w:val="00E3772E"/>
    <w:pPr>
      <w:keepNext/>
      <w:keepLines/>
      <w:spacing w:before="40" w:after="0"/>
      <w:outlineLvl w:val="1"/>
    </w:pPr>
    <w:rPr>
      <w:rFonts w:ascii="Brandon Grotesque Black" w:eastAsiaTheme="majorEastAsia" w:hAnsi="Brandon Grotesque Black" w:cstheme="majorBidi"/>
      <w:color w:val="78BE21"/>
      <w:sz w:val="32"/>
      <w:szCs w:val="26"/>
    </w:rPr>
  </w:style>
  <w:style w:type="paragraph" w:styleId="Heading3">
    <w:name w:val="heading 3"/>
    <w:aliases w:val="Action Items"/>
    <w:basedOn w:val="Normal"/>
    <w:next w:val="Normal"/>
    <w:link w:val="Heading3Char"/>
    <w:uiPriority w:val="9"/>
    <w:unhideWhenUsed/>
    <w:qFormat/>
    <w:rsid w:val="000D0F88"/>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aragraph"/>
    <w:uiPriority w:val="1"/>
    <w:qFormat/>
    <w:rsid w:val="00E3772E"/>
    <w:pPr>
      <w:spacing w:after="0" w:line="240" w:lineRule="auto"/>
    </w:pPr>
    <w:rPr>
      <w:sz w:val="24"/>
    </w:rPr>
  </w:style>
  <w:style w:type="paragraph" w:styleId="Header">
    <w:name w:val="header"/>
    <w:basedOn w:val="Normal"/>
    <w:link w:val="HeaderChar"/>
    <w:uiPriority w:val="99"/>
    <w:unhideWhenUsed/>
    <w:rsid w:val="004A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BF"/>
  </w:style>
  <w:style w:type="paragraph" w:styleId="Footer">
    <w:name w:val="footer"/>
    <w:basedOn w:val="Normal"/>
    <w:link w:val="FooterChar"/>
    <w:uiPriority w:val="99"/>
    <w:unhideWhenUsed/>
    <w:rsid w:val="004A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BF"/>
  </w:style>
  <w:style w:type="character" w:customStyle="1" w:styleId="Heading1Char">
    <w:name w:val="Heading 1 Char"/>
    <w:aliases w:val="Main Header Char"/>
    <w:basedOn w:val="DefaultParagraphFont"/>
    <w:link w:val="Heading1"/>
    <w:uiPriority w:val="9"/>
    <w:rsid w:val="007421A3"/>
    <w:rPr>
      <w:rFonts w:ascii="Brandon Grotesque Black" w:eastAsiaTheme="majorEastAsia" w:hAnsi="Brandon Grotesque Black" w:cstheme="majorBidi"/>
      <w:color w:val="003865"/>
      <w:sz w:val="32"/>
      <w:szCs w:val="32"/>
    </w:rPr>
  </w:style>
  <w:style w:type="character" w:customStyle="1" w:styleId="Heading2Char">
    <w:name w:val="Heading 2 Char"/>
    <w:aliases w:val="Sub-Header Char"/>
    <w:basedOn w:val="DefaultParagraphFont"/>
    <w:link w:val="Heading2"/>
    <w:uiPriority w:val="9"/>
    <w:rsid w:val="00E3772E"/>
    <w:rPr>
      <w:rFonts w:ascii="Brandon Grotesque Black" w:eastAsiaTheme="majorEastAsia" w:hAnsi="Brandon Grotesque Black" w:cstheme="majorBidi"/>
      <w:color w:val="78BE21"/>
      <w:sz w:val="32"/>
      <w:szCs w:val="26"/>
    </w:rPr>
  </w:style>
  <w:style w:type="character" w:customStyle="1" w:styleId="Heading3Char">
    <w:name w:val="Heading 3 Char"/>
    <w:aliases w:val="Action Items Char"/>
    <w:basedOn w:val="DefaultParagraphFont"/>
    <w:link w:val="Heading3"/>
    <w:uiPriority w:val="9"/>
    <w:rsid w:val="000D0F88"/>
    <w:rPr>
      <w:rFonts w:eastAsiaTheme="majorEastAsia" w:cstheme="majorBidi"/>
      <w:b/>
      <w:sz w:val="24"/>
      <w:szCs w:val="24"/>
    </w:rPr>
  </w:style>
  <w:style w:type="character" w:styleId="IntenseReference">
    <w:name w:val="Intense Reference"/>
    <w:aliases w:val="Main Header - Alt"/>
    <w:basedOn w:val="Heading1Char"/>
    <w:uiPriority w:val="32"/>
    <w:rsid w:val="007421A3"/>
    <w:rPr>
      <w:rFonts w:asciiTheme="minorHAnsi" w:eastAsiaTheme="majorEastAsia" w:hAnsiTheme="minorHAnsi" w:cstheme="majorBidi"/>
      <w:b/>
      <w:bCs/>
      <w:smallCaps/>
      <w:color w:val="003865"/>
      <w:spacing w:val="5"/>
      <w:sz w:val="32"/>
      <w:szCs w:val="32"/>
    </w:rPr>
  </w:style>
  <w:style w:type="character" w:styleId="BookTitle">
    <w:name w:val="Book Title"/>
    <w:aliases w:val="Main Header (alt)"/>
    <w:basedOn w:val="Heading1Char"/>
    <w:uiPriority w:val="33"/>
    <w:qFormat/>
    <w:rsid w:val="007421A3"/>
    <w:rPr>
      <w:rFonts w:asciiTheme="minorHAnsi" w:eastAsiaTheme="majorEastAsia" w:hAnsiTheme="minorHAnsi" w:cstheme="majorBidi"/>
      <w:b/>
      <w:bCs/>
      <w:i w:val="0"/>
      <w:iCs/>
      <w:color w:val="003865"/>
      <w:spacing w:val="5"/>
      <w:sz w:val="32"/>
      <w:szCs w:val="32"/>
    </w:rPr>
  </w:style>
  <w:style w:type="paragraph" w:styleId="ListParagraph">
    <w:name w:val="List Paragraph"/>
    <w:aliases w:val="Sub-Header (alt)"/>
    <w:basedOn w:val="Normal"/>
    <w:next w:val="Normal"/>
    <w:uiPriority w:val="34"/>
    <w:qFormat/>
    <w:rsid w:val="007421A3"/>
    <w:pPr>
      <w:contextualSpacing/>
    </w:pPr>
    <w:rPr>
      <w:b/>
      <w:color w:val="78BE21"/>
      <w:sz w:val="32"/>
    </w:rPr>
  </w:style>
  <w:style w:type="character" w:styleId="Hyperlink">
    <w:name w:val="Hyperlink"/>
    <w:basedOn w:val="DefaultParagraphFont"/>
    <w:uiPriority w:val="99"/>
    <w:unhideWhenUsed/>
    <w:rsid w:val="007E7623"/>
    <w:rPr>
      <w:color w:val="0563C1" w:themeColor="hyperlink"/>
      <w:u w:val="single"/>
    </w:rPr>
  </w:style>
  <w:style w:type="character" w:customStyle="1" w:styleId="UnresolvedMention1">
    <w:name w:val="Unresolved Mention1"/>
    <w:basedOn w:val="DefaultParagraphFont"/>
    <w:uiPriority w:val="99"/>
    <w:semiHidden/>
    <w:unhideWhenUsed/>
    <w:rsid w:val="007E7623"/>
    <w:rPr>
      <w:color w:val="605E5C"/>
      <w:shd w:val="clear" w:color="auto" w:fill="E1DFDD"/>
    </w:rPr>
  </w:style>
  <w:style w:type="paragraph" w:styleId="BalloonText">
    <w:name w:val="Balloon Text"/>
    <w:basedOn w:val="Normal"/>
    <w:link w:val="BalloonTextChar"/>
    <w:uiPriority w:val="99"/>
    <w:semiHidden/>
    <w:unhideWhenUsed/>
    <w:rsid w:val="00620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EF8"/>
    <w:rPr>
      <w:rFonts w:ascii="Segoe UI" w:hAnsi="Segoe UI" w:cs="Segoe UI"/>
      <w:sz w:val="18"/>
      <w:szCs w:val="18"/>
    </w:rPr>
  </w:style>
  <w:style w:type="character" w:styleId="FollowedHyperlink">
    <w:name w:val="FollowedHyperlink"/>
    <w:basedOn w:val="DefaultParagraphFont"/>
    <w:uiPriority w:val="99"/>
    <w:semiHidden/>
    <w:unhideWhenUsed/>
    <w:rsid w:val="00620EF8"/>
    <w:rPr>
      <w:color w:val="954F72" w:themeColor="followedHyperlink"/>
      <w:u w:val="single"/>
    </w:rPr>
  </w:style>
  <w:style w:type="paragraph" w:styleId="BodyText">
    <w:name w:val="Body Text"/>
    <w:basedOn w:val="Normal"/>
    <w:link w:val="BodyTextChar"/>
    <w:uiPriority w:val="99"/>
    <w:unhideWhenUsed/>
    <w:qFormat/>
    <w:rsid w:val="00725690"/>
    <w:pPr>
      <w:spacing w:after="120"/>
    </w:pPr>
  </w:style>
  <w:style w:type="character" w:customStyle="1" w:styleId="BodyTextChar">
    <w:name w:val="Body Text Char"/>
    <w:basedOn w:val="DefaultParagraphFont"/>
    <w:link w:val="BodyText"/>
    <w:uiPriority w:val="99"/>
    <w:rsid w:val="00725690"/>
    <w:rPr>
      <w:sz w:val="24"/>
    </w:rPr>
  </w:style>
  <w:style w:type="paragraph" w:styleId="ListBullet">
    <w:name w:val="List Bullet"/>
    <w:basedOn w:val="Normal"/>
    <w:uiPriority w:val="99"/>
    <w:unhideWhenUsed/>
    <w:rsid w:val="00725690"/>
    <w:pPr>
      <w:numPr>
        <w:numId w:val="13"/>
      </w:numPr>
      <w:spacing w:line="271"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605757">
      <w:bodyDiv w:val="1"/>
      <w:marLeft w:val="0"/>
      <w:marRight w:val="0"/>
      <w:marTop w:val="0"/>
      <w:marBottom w:val="0"/>
      <w:divBdr>
        <w:top w:val="none" w:sz="0" w:space="0" w:color="auto"/>
        <w:left w:val="none" w:sz="0" w:space="0" w:color="auto"/>
        <w:bottom w:val="none" w:sz="0" w:space="0" w:color="auto"/>
        <w:right w:val="none" w:sz="0" w:space="0" w:color="auto"/>
      </w:divBdr>
    </w:div>
    <w:div w:id="1325278745">
      <w:bodyDiv w:val="1"/>
      <w:marLeft w:val="0"/>
      <w:marRight w:val="0"/>
      <w:marTop w:val="0"/>
      <w:marBottom w:val="0"/>
      <w:divBdr>
        <w:top w:val="none" w:sz="0" w:space="0" w:color="auto"/>
        <w:left w:val="none" w:sz="0" w:space="0" w:color="auto"/>
        <w:bottom w:val="none" w:sz="0" w:space="0" w:color="auto"/>
        <w:right w:val="none" w:sz="0" w:space="0" w:color="auto"/>
      </w:divBdr>
    </w:div>
    <w:div w:id="1452243277">
      <w:bodyDiv w:val="1"/>
      <w:marLeft w:val="0"/>
      <w:marRight w:val="0"/>
      <w:marTop w:val="0"/>
      <w:marBottom w:val="0"/>
      <w:divBdr>
        <w:top w:val="none" w:sz="0" w:space="0" w:color="auto"/>
        <w:left w:val="none" w:sz="0" w:space="0" w:color="auto"/>
        <w:bottom w:val="none" w:sz="0" w:space="0" w:color="auto"/>
        <w:right w:val="none" w:sz="0" w:space="0" w:color="auto"/>
      </w:divBdr>
    </w:div>
    <w:div w:id="16418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Flom, Hannah A (GOV)</dc:creator>
  <cp:keywords/>
  <dc:description/>
  <cp:lastModifiedBy>Flom, Hannah A (GOV)</cp:lastModifiedBy>
  <cp:revision>4</cp:revision>
  <cp:lastPrinted>2019-02-14T22:14:00Z</cp:lastPrinted>
  <dcterms:created xsi:type="dcterms:W3CDTF">2019-02-17T23:15:00Z</dcterms:created>
  <dcterms:modified xsi:type="dcterms:W3CDTF">2019-02-19T15:19:00Z</dcterms:modified>
</cp:coreProperties>
</file>